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b w:val="1"/>
          <w:sz w:val="32"/>
          <w:szCs w:val="32"/>
        </w:rPr>
      </w:pPr>
      <w:r w:rsidDel="00000000" w:rsidR="00000000" w:rsidRPr="00000000">
        <w:rPr>
          <w:rtl w:val="0"/>
        </w:rPr>
      </w:r>
    </w:p>
    <w:p w:rsidR="00000000" w:rsidDel="00000000" w:rsidP="00000000" w:rsidRDefault="00000000" w:rsidRPr="00000000" w14:paraId="00000002">
      <w:pPr>
        <w:spacing w:line="240" w:lineRule="auto"/>
        <w:jc w:val="center"/>
        <w:rPr>
          <w:b w:val="1"/>
          <w:sz w:val="32"/>
          <w:szCs w:val="32"/>
        </w:rPr>
      </w:pPr>
      <w:r w:rsidDel="00000000" w:rsidR="00000000" w:rsidRPr="00000000">
        <w:rPr>
          <w:b w:val="1"/>
          <w:sz w:val="32"/>
          <w:szCs w:val="32"/>
          <w:highlight w:val="white"/>
          <w:rtl w:val="0"/>
        </w:rPr>
        <w:t xml:space="preserve">Lo que toda agencia educativa necesita para ampliar su cartera internacional</w:t>
      </w:r>
      <w:r w:rsidDel="00000000" w:rsidR="00000000" w:rsidRPr="00000000">
        <w:rPr>
          <w:rtl w:val="0"/>
        </w:rPr>
      </w:r>
    </w:p>
    <w:p w:rsidR="00000000" w:rsidDel="00000000" w:rsidP="00000000" w:rsidRDefault="00000000" w:rsidRPr="00000000" w14:paraId="00000003">
      <w:pPr>
        <w:spacing w:line="240" w:lineRule="auto"/>
        <w:rPr>
          <w:b w:val="1"/>
          <w:i w:val="1"/>
          <w:sz w:val="20"/>
          <w:szCs w:val="20"/>
        </w:rPr>
      </w:pPr>
      <w:r w:rsidDel="00000000" w:rsidR="00000000" w:rsidRPr="00000000">
        <w:rPr>
          <w:rtl w:val="0"/>
        </w:rPr>
      </w:r>
    </w:p>
    <w:p w:rsidR="00000000" w:rsidDel="00000000" w:rsidP="00000000" w:rsidRDefault="00000000" w:rsidRPr="00000000" w14:paraId="00000004">
      <w:pPr>
        <w:numPr>
          <w:ilvl w:val="0"/>
          <w:numId w:val="1"/>
        </w:numPr>
        <w:ind w:left="720" w:hanging="360"/>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 Las alianzas estratégicas con diferentes entidades son esenciales, pues les permiten a las agencias globalizar su oferta y ofrecer experiencias valiosas y seguras a sus clientes.</w:t>
      </w:r>
    </w:p>
    <w:p w:rsidR="00000000" w:rsidDel="00000000" w:rsidP="00000000" w:rsidRDefault="00000000" w:rsidRPr="00000000" w14:paraId="00000005">
      <w:pPr>
        <w:ind w:left="72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08 noviembre de 2023.</w:t>
      </w:r>
      <w:r w:rsidDel="00000000" w:rsidR="00000000" w:rsidRPr="00000000">
        <w:rPr>
          <w:rtl w:val="0"/>
        </w:rPr>
        <w:t xml:space="preserve"> </w:t>
      </w:r>
      <w:r w:rsidDel="00000000" w:rsidR="00000000" w:rsidRPr="00000000">
        <w:rPr>
          <w:rtl w:val="0"/>
        </w:rPr>
        <w:t xml:space="preserve">El mundo moderno, globalizado y altamente interconectado de hoy en día, le ofrece a las agencias de viaje educativas una oportunidad única: expandir horizontes más allá de sus fronteras locales y explorar destinos educativos internacionales, pero ¿cómo pueden hacerlo?</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spacing w:after="200" w:lineRule="auto"/>
        <w:jc w:val="both"/>
        <w:rPr>
          <w:b w:val="1"/>
        </w:rPr>
      </w:pPr>
      <w:r w:rsidDel="00000000" w:rsidR="00000000" w:rsidRPr="00000000">
        <w:rPr>
          <w:rtl w:val="0"/>
        </w:rPr>
        <w:t xml:space="preserve">Siendo la única solución en el mercado que incluye todos los servicios que cualquier agencia pequeña o mediana puede necesitar, </w:t>
      </w:r>
      <w:hyperlink r:id="rId6">
        <w:r w:rsidDel="00000000" w:rsidR="00000000" w:rsidRPr="00000000">
          <w:rPr>
            <w:b w:val="1"/>
            <w:color w:val="1155cc"/>
            <w:u w:val="single"/>
            <w:rtl w:val="0"/>
          </w:rPr>
          <w:t xml:space="preserve">GrowPro Agents</w:t>
        </w:r>
      </w:hyperlink>
      <w:r w:rsidDel="00000000" w:rsidR="00000000" w:rsidRPr="00000000">
        <w:rPr>
          <w:rtl w:val="0"/>
        </w:rPr>
        <w:t xml:space="preserve"> es el programa de partnership estratégico que brinda una plataforma para la gestión de estudiantes diseñada para mejorar la eficiencia y el éxito de este tipo de negocios.</w:t>
      </w: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Ampliar su cartera internacional es solo una de las muchas razones por las que cada vez más agencias desean ser aliados de </w:t>
      </w:r>
      <w:r w:rsidDel="00000000" w:rsidR="00000000" w:rsidRPr="00000000">
        <w:rPr>
          <w:b w:val="1"/>
          <w:rtl w:val="0"/>
        </w:rPr>
        <w:t xml:space="preserve">GrowPro Agents</w:t>
      </w:r>
      <w:r w:rsidDel="00000000" w:rsidR="00000000" w:rsidRPr="00000000">
        <w:rPr>
          <w:rtl w:val="0"/>
        </w:rPr>
        <w:t xml:space="preserve">, pues además:</w:t>
      </w:r>
    </w:p>
    <w:p w:rsidR="00000000" w:rsidDel="00000000" w:rsidP="00000000" w:rsidRDefault="00000000" w:rsidRPr="00000000" w14:paraId="0000000A">
      <w:pPr>
        <w:ind w:left="0" w:firstLine="0"/>
        <w:jc w:val="both"/>
        <w:rPr/>
      </w:pPr>
      <w:r w:rsidDel="00000000" w:rsidR="00000000" w:rsidRPr="00000000">
        <w:rPr>
          <w:rtl w:val="0"/>
        </w:rPr>
      </w:r>
    </w:p>
    <w:p w:rsidR="00000000" w:rsidDel="00000000" w:rsidP="00000000" w:rsidRDefault="00000000" w:rsidRPr="00000000" w14:paraId="0000000B">
      <w:pPr>
        <w:numPr>
          <w:ilvl w:val="0"/>
          <w:numId w:val="2"/>
        </w:numPr>
        <w:ind w:left="720" w:hanging="360"/>
        <w:jc w:val="both"/>
      </w:pPr>
      <w:r w:rsidDel="00000000" w:rsidR="00000000" w:rsidRPr="00000000">
        <w:rPr>
          <w:b w:val="1"/>
          <w:rtl w:val="0"/>
        </w:rPr>
        <w:t xml:space="preserve">Ayudan</w:t>
      </w:r>
      <w:r w:rsidDel="00000000" w:rsidR="00000000" w:rsidRPr="00000000">
        <w:rPr>
          <w:rtl w:val="0"/>
        </w:rPr>
        <w:t xml:space="preserve"> </w:t>
      </w:r>
      <w:r w:rsidDel="00000000" w:rsidR="00000000" w:rsidRPr="00000000">
        <w:rPr>
          <w:b w:val="1"/>
          <w:rtl w:val="0"/>
        </w:rPr>
        <w:t xml:space="preserve">a la generación de leads</w:t>
      </w:r>
      <w:r w:rsidDel="00000000" w:rsidR="00000000" w:rsidRPr="00000000">
        <w:rPr>
          <w:rtl w:val="0"/>
        </w:rPr>
        <w:t xml:space="preserve"> creando campañas de captación exitosas y así, llegar a un público más amplio y atraer a estudiantes de diferentes partes del mundo.</w:t>
      </w:r>
      <w:r w:rsidDel="00000000" w:rsidR="00000000" w:rsidRPr="00000000">
        <w:rPr>
          <w:rtl w:val="0"/>
        </w:rPr>
      </w:r>
    </w:p>
    <w:p w:rsidR="00000000" w:rsidDel="00000000" w:rsidP="00000000" w:rsidRDefault="00000000" w:rsidRPr="00000000" w14:paraId="0000000C">
      <w:pPr>
        <w:numPr>
          <w:ilvl w:val="0"/>
          <w:numId w:val="2"/>
        </w:numPr>
        <w:ind w:left="720" w:hanging="360"/>
        <w:jc w:val="both"/>
      </w:pPr>
      <w:r w:rsidDel="00000000" w:rsidR="00000000" w:rsidRPr="00000000">
        <w:rPr>
          <w:b w:val="1"/>
          <w:rtl w:val="0"/>
        </w:rPr>
        <w:t xml:space="preserve">O</w:t>
      </w:r>
      <w:r w:rsidDel="00000000" w:rsidR="00000000" w:rsidRPr="00000000">
        <w:rPr>
          <w:b w:val="1"/>
          <w:rtl w:val="0"/>
        </w:rPr>
        <w:t xml:space="preserve">frecen</w:t>
      </w:r>
      <w:r w:rsidDel="00000000" w:rsidR="00000000" w:rsidRPr="00000000">
        <w:rPr>
          <w:rtl w:val="0"/>
        </w:rPr>
        <w:t xml:space="preserve"> </w:t>
      </w:r>
      <w:r w:rsidDel="00000000" w:rsidR="00000000" w:rsidRPr="00000000">
        <w:rPr>
          <w:b w:val="1"/>
          <w:rtl w:val="0"/>
        </w:rPr>
        <w:t xml:space="preserve">formación</w:t>
      </w:r>
      <w:r w:rsidDel="00000000" w:rsidR="00000000" w:rsidRPr="00000000">
        <w:rPr>
          <w:rtl w:val="0"/>
        </w:rPr>
        <w:t xml:space="preserve"> en ventas, producto, visados y </w:t>
      </w:r>
      <w:r w:rsidDel="00000000" w:rsidR="00000000" w:rsidRPr="00000000">
        <w:rPr>
          <w:i w:val="1"/>
          <w:rtl w:val="0"/>
        </w:rPr>
        <w:t xml:space="preserve">selling points</w:t>
      </w:r>
      <w:r w:rsidDel="00000000" w:rsidR="00000000" w:rsidRPr="00000000">
        <w:rPr>
          <w:rtl w:val="0"/>
        </w:rPr>
        <w:t xml:space="preserve">. Los agentes educativos pueden capacitarse para entender mejor las necesidades de los estudiantes internacionales y ofrecerles un servicio más completo y personalizado.</w:t>
      </w:r>
      <w:r w:rsidDel="00000000" w:rsidR="00000000" w:rsidRPr="00000000">
        <w:rPr>
          <w:rtl w:val="0"/>
        </w:rPr>
      </w:r>
    </w:p>
    <w:p w:rsidR="00000000" w:rsidDel="00000000" w:rsidP="00000000" w:rsidRDefault="00000000" w:rsidRPr="00000000" w14:paraId="0000000D">
      <w:pPr>
        <w:numPr>
          <w:ilvl w:val="0"/>
          <w:numId w:val="2"/>
        </w:numPr>
        <w:ind w:left="720" w:hanging="360"/>
        <w:jc w:val="both"/>
      </w:pPr>
      <w:r w:rsidDel="00000000" w:rsidR="00000000" w:rsidRPr="00000000">
        <w:rPr>
          <w:b w:val="1"/>
          <w:rtl w:val="0"/>
        </w:rPr>
        <w:t xml:space="preserve">Ayudan</w:t>
      </w:r>
      <w:r w:rsidDel="00000000" w:rsidR="00000000" w:rsidRPr="00000000">
        <w:rPr>
          <w:rtl w:val="0"/>
        </w:rPr>
        <w:t xml:space="preserve"> </w:t>
      </w:r>
      <w:r w:rsidDel="00000000" w:rsidR="00000000" w:rsidRPr="00000000">
        <w:rPr>
          <w:b w:val="1"/>
          <w:rtl w:val="0"/>
        </w:rPr>
        <w:t xml:space="preserve">a reducir los costos</w:t>
      </w:r>
      <w:r w:rsidDel="00000000" w:rsidR="00000000" w:rsidRPr="00000000">
        <w:rPr>
          <w:rtl w:val="0"/>
        </w:rPr>
        <w:t xml:space="preserve"> y el tiempo involucrado en la gestión del proceso de postventa, permitiendo a los vendedores enfocarse en cerrar ventas y aumentar la eficiencia operativa.</w:t>
      </w:r>
      <w:r w:rsidDel="00000000" w:rsidR="00000000" w:rsidRPr="00000000">
        <w:rPr>
          <w:rtl w:val="0"/>
        </w:rPr>
      </w:r>
    </w:p>
    <w:p w:rsidR="00000000" w:rsidDel="00000000" w:rsidP="00000000" w:rsidRDefault="00000000" w:rsidRPr="00000000" w14:paraId="0000000E">
      <w:pPr>
        <w:numPr>
          <w:ilvl w:val="0"/>
          <w:numId w:val="2"/>
        </w:numPr>
        <w:ind w:left="720" w:hanging="360"/>
        <w:jc w:val="both"/>
      </w:pPr>
      <w:r w:rsidDel="00000000" w:rsidR="00000000" w:rsidRPr="00000000">
        <w:rPr>
          <w:b w:val="1"/>
          <w:rtl w:val="0"/>
        </w:rPr>
        <w:t xml:space="preserve">Brindan</w:t>
      </w:r>
      <w:r w:rsidDel="00000000" w:rsidR="00000000" w:rsidRPr="00000000">
        <w:rPr>
          <w:rtl w:val="0"/>
        </w:rPr>
        <w:t xml:space="preserve"> </w:t>
      </w:r>
      <w:r w:rsidDel="00000000" w:rsidR="00000000" w:rsidRPr="00000000">
        <w:rPr>
          <w:b w:val="1"/>
          <w:rtl w:val="0"/>
        </w:rPr>
        <w:t xml:space="preserve">acceso a oportunidades</w:t>
      </w:r>
      <w:r w:rsidDel="00000000" w:rsidR="00000000" w:rsidRPr="00000000">
        <w:rPr>
          <w:rtl w:val="0"/>
        </w:rPr>
        <w:t xml:space="preserve"> exclusivas y la capacidad de mantenerse competitivas en un mercado internacional en constante evolución, debido a la disponibilidad de acuerdos con escuelas y actualizaciones de precios y promociones.</w:t>
      </w:r>
      <w:r w:rsidDel="00000000" w:rsidR="00000000" w:rsidRPr="00000000">
        <w:rPr>
          <w:rtl w:val="0"/>
        </w:rPr>
      </w:r>
    </w:p>
    <w:p w:rsidR="00000000" w:rsidDel="00000000" w:rsidP="00000000" w:rsidRDefault="00000000" w:rsidRPr="00000000" w14:paraId="0000000F">
      <w:pPr>
        <w:numPr>
          <w:ilvl w:val="0"/>
          <w:numId w:val="2"/>
        </w:numPr>
        <w:ind w:left="720" w:hanging="360"/>
        <w:jc w:val="both"/>
      </w:pPr>
      <w:r w:rsidDel="00000000" w:rsidR="00000000" w:rsidRPr="00000000">
        <w:rPr>
          <w:b w:val="1"/>
          <w:rtl w:val="0"/>
        </w:rPr>
        <w:t xml:space="preserve">Desarrollan estrategias de crecimiento</w:t>
      </w:r>
      <w:r w:rsidDel="00000000" w:rsidR="00000000" w:rsidRPr="00000000">
        <w:rPr>
          <w:rtl w:val="0"/>
        </w:rPr>
        <w:t xml:space="preserve"> personalizadas con el gerente de cuenta clave asignado a cada agencia, con el objetivo de aprovechar al máximo las oportunidades en el mercado internacional y adaptarse a las cambiantes condiciones del mismo.</w:t>
      </w:r>
      <w:r w:rsidDel="00000000" w:rsidR="00000000" w:rsidRPr="00000000">
        <w:rPr>
          <w:rtl w:val="0"/>
        </w:rPr>
      </w:r>
    </w:p>
    <w:p w:rsidR="00000000" w:rsidDel="00000000" w:rsidP="00000000" w:rsidRDefault="00000000" w:rsidRPr="00000000" w14:paraId="00000010">
      <w:pPr>
        <w:numPr>
          <w:ilvl w:val="0"/>
          <w:numId w:val="2"/>
        </w:numPr>
        <w:ind w:left="720" w:hanging="360"/>
        <w:jc w:val="both"/>
      </w:pPr>
      <w:r w:rsidDel="00000000" w:rsidR="00000000" w:rsidRPr="00000000">
        <w:rPr>
          <w:b w:val="1"/>
          <w:rtl w:val="0"/>
        </w:rPr>
        <w:t xml:space="preserve">Apoyan a los estudiantes en destino</w:t>
      </w:r>
      <w:r w:rsidDel="00000000" w:rsidR="00000000" w:rsidRPr="00000000">
        <w:rPr>
          <w:rtl w:val="0"/>
        </w:rPr>
        <w:t xml:space="preserve"> en diferentes servicios como: necesidades básicas, creación de comunidad, eventos, viajes y workshops; lo que mejora su experiencia y a la vez aumenta las ventas a largo plazo para las agencias.</w:t>
      </w:r>
      <w:r w:rsidDel="00000000" w:rsidR="00000000" w:rsidRPr="00000000">
        <w:rPr>
          <w:rtl w:val="0"/>
        </w:rPr>
      </w:r>
    </w:p>
    <w:p w:rsidR="00000000" w:rsidDel="00000000" w:rsidP="00000000" w:rsidRDefault="00000000" w:rsidRPr="00000000" w14:paraId="00000011">
      <w:pPr>
        <w:numPr>
          <w:ilvl w:val="0"/>
          <w:numId w:val="2"/>
        </w:numPr>
        <w:ind w:left="720" w:hanging="360"/>
        <w:jc w:val="both"/>
        <w:rPr/>
      </w:pPr>
      <w:r w:rsidDel="00000000" w:rsidR="00000000" w:rsidRPr="00000000">
        <w:rPr>
          <w:b w:val="1"/>
          <w:rtl w:val="0"/>
        </w:rPr>
        <w:t xml:space="preserve">Se incentiva a las agencias</w:t>
      </w:r>
      <w:r w:rsidDel="00000000" w:rsidR="00000000" w:rsidRPr="00000000">
        <w:rPr>
          <w:rtl w:val="0"/>
        </w:rPr>
        <w:t xml:space="preserve"> a mantener relaciones a largo plazo con sus estudiantes internacionales a través de la tarifa de renovación para agentes, donde se paga una comisión por cada renovación que GrowPro consigue de los estudiantes. Esto se traduce en ingresos recurrentes para las agencias.</w:t>
      </w:r>
      <w:r w:rsidDel="00000000" w:rsidR="00000000" w:rsidRPr="00000000">
        <w:rPr>
          <w:rtl w:val="0"/>
        </w:rPr>
      </w:r>
    </w:p>
    <w:p w:rsidR="00000000" w:rsidDel="00000000" w:rsidP="00000000" w:rsidRDefault="00000000" w:rsidRPr="00000000" w14:paraId="00000012">
      <w:pPr>
        <w:jc w:val="both"/>
        <w:rPr>
          <w:b w:val="1"/>
          <w:color w:val="1d1c1d"/>
        </w:rPr>
      </w:pPr>
      <w:r w:rsidDel="00000000" w:rsidR="00000000" w:rsidRPr="00000000">
        <w:rPr>
          <w:rtl w:val="0"/>
        </w:rPr>
      </w:r>
    </w:p>
    <w:p w:rsidR="00000000" w:rsidDel="00000000" w:rsidP="00000000" w:rsidRDefault="00000000" w:rsidRPr="00000000" w14:paraId="00000013">
      <w:pPr>
        <w:jc w:val="both"/>
        <w:rPr>
          <w:b w:val="1"/>
          <w:color w:val="1d1c1d"/>
        </w:rPr>
      </w:pPr>
      <w:r w:rsidDel="00000000" w:rsidR="00000000" w:rsidRPr="00000000">
        <w:rPr>
          <w:rtl w:val="0"/>
        </w:rPr>
      </w:r>
    </w:p>
    <w:p w:rsidR="00000000" w:rsidDel="00000000" w:rsidP="00000000" w:rsidRDefault="00000000" w:rsidRPr="00000000" w14:paraId="00000014">
      <w:pPr>
        <w:jc w:val="both"/>
        <w:rPr>
          <w:b w:val="1"/>
          <w:color w:val="1d1c1d"/>
        </w:rPr>
      </w:pPr>
      <w:r w:rsidDel="00000000" w:rsidR="00000000" w:rsidRPr="00000000">
        <w:rPr>
          <w:rtl w:val="0"/>
        </w:rPr>
      </w:r>
    </w:p>
    <w:p w:rsidR="00000000" w:rsidDel="00000000" w:rsidP="00000000" w:rsidRDefault="00000000" w:rsidRPr="00000000" w14:paraId="00000015">
      <w:pPr>
        <w:jc w:val="both"/>
        <w:rPr>
          <w:b w:val="1"/>
          <w:color w:val="1d1c1d"/>
        </w:rPr>
      </w:pPr>
      <w:r w:rsidDel="00000000" w:rsidR="00000000" w:rsidRPr="00000000">
        <w:rPr>
          <w:b w:val="1"/>
          <w:color w:val="1d1c1d"/>
          <w:rtl w:val="0"/>
        </w:rPr>
        <w:t xml:space="preserve">Caso de éxito</w:t>
      </w:r>
    </w:p>
    <w:p w:rsidR="00000000" w:rsidDel="00000000" w:rsidP="00000000" w:rsidRDefault="00000000" w:rsidRPr="00000000" w14:paraId="00000016">
      <w:pPr>
        <w:jc w:val="both"/>
        <w:rPr/>
      </w:pPr>
      <w:r w:rsidDel="00000000" w:rsidR="00000000" w:rsidRPr="00000000">
        <w:rPr>
          <w:color w:val="1d1c1d"/>
          <w:rtl w:val="0"/>
        </w:rPr>
        <w:t xml:space="preserve">Gracias a su alianza con GrowPro Agents,</w:t>
      </w:r>
      <w:r w:rsidDel="00000000" w:rsidR="00000000" w:rsidRPr="00000000">
        <w:rPr>
          <w:b w:val="1"/>
          <w:color w:val="1d1c1d"/>
          <w:rtl w:val="0"/>
        </w:rPr>
        <w:t xml:space="preserve"> </w:t>
      </w:r>
      <w:hyperlink r:id="rId7">
        <w:r w:rsidDel="00000000" w:rsidR="00000000" w:rsidRPr="00000000">
          <w:rPr>
            <w:b w:val="1"/>
            <w:color w:val="1155cc"/>
            <w:u w:val="single"/>
            <w:rtl w:val="0"/>
          </w:rPr>
          <w:t xml:space="preserve">Banana Experience</w:t>
        </w:r>
      </w:hyperlink>
      <w:r w:rsidDel="00000000" w:rsidR="00000000" w:rsidRPr="00000000">
        <w:rPr>
          <w:color w:val="1d1c1d"/>
          <w:rtl w:val="0"/>
        </w:rPr>
        <w:t xml:space="preserve">, una </w:t>
      </w:r>
      <w:r w:rsidDel="00000000" w:rsidR="00000000" w:rsidRPr="00000000">
        <w:rPr>
          <w:rtl w:val="0"/>
        </w:rPr>
        <w:t xml:space="preserve">agencia ecuatoriana de educación internacional enfocada en ayudar a estudiantes a vivir la mejor experiencia en Australia, logró vender estas experiencias en todas las ciudades de Australia</w:t>
      </w:r>
      <w:r w:rsidDel="00000000" w:rsidR="00000000" w:rsidRPr="00000000">
        <w:rPr>
          <w:rtl w:val="0"/>
        </w:rPr>
        <w:t xml:space="preserve">; y desde octubre pasado comenzaron a</w:t>
      </w:r>
      <w:r w:rsidDel="00000000" w:rsidR="00000000" w:rsidRPr="00000000">
        <w:rPr>
          <w:rtl w:val="0"/>
        </w:rPr>
        <w:t xml:space="preserve"> expandir sus destinos, ahora en Canadá.</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i w:val="1"/>
          <w:rtl w:val="0"/>
        </w:rPr>
        <w:t xml:space="preserve">“En nuestro departamento de ventas hemos reestructurado muchos procesos con GrowPro Agents; la forma de vender y de nuestro </w:t>
      </w:r>
      <w:r w:rsidDel="00000000" w:rsidR="00000000" w:rsidRPr="00000000">
        <w:rPr>
          <w:i w:val="1"/>
          <w:rtl w:val="0"/>
        </w:rPr>
        <w:t xml:space="preserve">discurso</w:t>
      </w:r>
      <w:r w:rsidDel="00000000" w:rsidR="00000000" w:rsidRPr="00000000">
        <w:rPr>
          <w:i w:val="1"/>
          <w:rtl w:val="0"/>
        </w:rPr>
        <w:t xml:space="preserve"> cambió gracias a la escalabilidad y proyecciones que hemos tenido estos últimos seis meses. Además, su equipo siempre está dispuesto a ayudarnos. Les recomendamos a todas las agencias educativas aliarse con ellos, pues el crecimiento de nuestro negocio ha sido muy notable gracias a sus herramientas y acompañamiento”</w:t>
      </w:r>
      <w:r w:rsidDel="00000000" w:rsidR="00000000" w:rsidRPr="00000000">
        <w:rPr>
          <w:rtl w:val="0"/>
        </w:rPr>
        <w:t xml:space="preserve">, afirma</w:t>
      </w:r>
      <w:r w:rsidDel="00000000" w:rsidR="00000000" w:rsidRPr="00000000">
        <w:rPr>
          <w:b w:val="1"/>
          <w:rtl w:val="0"/>
        </w:rPr>
        <w:t xml:space="preserve"> Luis Felipe Román, CEO de Banana Experience. </w:t>
      </w: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En los últimos seis meses y gracias a GrowPro Agents, </w:t>
      </w:r>
      <w:r w:rsidDel="00000000" w:rsidR="00000000" w:rsidRPr="00000000">
        <w:rPr>
          <w:rtl w:val="0"/>
        </w:rPr>
        <w:t xml:space="preserve">Banana Experience ha logrado que sus asesores aumenten sus ventas en más de un 30%. También han desarrollado campañas y eventos que les han permitido generar un crecimiento constante de un 20% mensual, llegando a facturar más de </w:t>
      </w:r>
      <w:r w:rsidDel="00000000" w:rsidR="00000000" w:rsidRPr="00000000">
        <w:rPr>
          <w:b w:val="1"/>
          <w:rtl w:val="0"/>
        </w:rPr>
        <w:t xml:space="preserve">180,000 USD en un mes</w:t>
      </w:r>
      <w:r w:rsidDel="00000000" w:rsidR="00000000" w:rsidRPr="00000000">
        <w:rPr>
          <w:rtl w:val="0"/>
        </w:rPr>
        <w:t xml:space="preserve">.</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En 2022, GrowPro Agents creció en promedio un 15% mensual. En lo que va de 2023 crecen al ritmo de un 28%, suponiendo ya más del 15% sobre la facturación total de la empresa, que planea mover durante este año a más de 9,000 personas.</w:t>
      </w: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spacing w:line="276" w:lineRule="auto"/>
        <w:jc w:val="center"/>
        <w:rPr/>
      </w:pPr>
      <w:r w:rsidDel="00000000" w:rsidR="00000000" w:rsidRPr="00000000">
        <w:rPr>
          <w:rtl w:val="0"/>
        </w:rPr>
        <w:t xml:space="preserve">##########</w:t>
      </w:r>
    </w:p>
    <w:p w:rsidR="00000000" w:rsidDel="00000000" w:rsidP="00000000" w:rsidRDefault="00000000" w:rsidRPr="00000000" w14:paraId="00000020">
      <w:pPr>
        <w:spacing w:line="240" w:lineRule="auto"/>
        <w:jc w:val="both"/>
        <w:rPr>
          <w:highlight w:val="white"/>
        </w:rPr>
      </w:pPr>
      <w:r w:rsidDel="00000000" w:rsidR="00000000" w:rsidRPr="00000000">
        <w:rPr>
          <w:rtl w:val="0"/>
        </w:rPr>
      </w:r>
    </w:p>
    <w:p w:rsidR="00000000" w:rsidDel="00000000" w:rsidP="00000000" w:rsidRDefault="00000000" w:rsidRPr="00000000" w14:paraId="00000021">
      <w:pPr>
        <w:spacing w:after="200" w:line="240" w:lineRule="auto"/>
        <w:jc w:val="both"/>
        <w:rPr>
          <w:rFonts w:ascii="Times New Roman" w:cs="Times New Roman" w:eastAsia="Times New Roman" w:hAnsi="Times New Roman"/>
          <w:sz w:val="24"/>
          <w:szCs w:val="24"/>
        </w:rPr>
      </w:pPr>
      <w:r w:rsidDel="00000000" w:rsidR="00000000" w:rsidRPr="00000000">
        <w:rPr>
          <w:b w:val="1"/>
          <w:color w:val="e06666"/>
          <w:sz w:val="24"/>
          <w:szCs w:val="24"/>
          <w:rtl w:val="0"/>
        </w:rPr>
        <w:t xml:space="preserve">Sobre GrowPro Experience</w:t>
      </w:r>
      <w:r w:rsidDel="00000000" w:rsidR="00000000" w:rsidRPr="00000000">
        <w:rPr>
          <w:rtl w:val="0"/>
        </w:rPr>
      </w:r>
    </w:p>
    <w:p w:rsidR="00000000" w:rsidDel="00000000" w:rsidP="00000000" w:rsidRDefault="00000000" w:rsidRPr="00000000" w14:paraId="00000022">
      <w:pPr>
        <w:shd w:fill="ffffff" w:val="clear"/>
        <w:spacing w:line="240" w:lineRule="auto"/>
        <w:jc w:val="both"/>
        <w:rPr>
          <w:rFonts w:ascii="Times New Roman" w:cs="Times New Roman" w:eastAsia="Times New Roman" w:hAnsi="Times New Roman"/>
          <w:sz w:val="24"/>
          <w:szCs w:val="24"/>
        </w:rPr>
      </w:pPr>
      <w:hyperlink r:id="rId8">
        <w:r w:rsidDel="00000000" w:rsidR="00000000" w:rsidRPr="00000000">
          <w:rPr>
            <w:color w:val="1155cc"/>
            <w:sz w:val="18"/>
            <w:szCs w:val="18"/>
            <w:u w:val="single"/>
            <w:rtl w:val="0"/>
          </w:rPr>
          <w:t xml:space="preserve">GrowPro Experience</w:t>
        </w:r>
      </w:hyperlink>
      <w:r w:rsidDel="00000000" w:rsidR="00000000" w:rsidRPr="00000000">
        <w:rPr>
          <w:color w:val="1a1a1a"/>
          <w:sz w:val="18"/>
          <w:szCs w:val="18"/>
          <w:highlight w:val="white"/>
          <w:rtl w:val="0"/>
        </w:rPr>
        <w:t xml:space="preserve"> </w:t>
      </w:r>
      <w:r w:rsidDel="00000000" w:rsidR="00000000" w:rsidRPr="00000000">
        <w:rPr>
          <w:color w:val="1a1a1a"/>
          <w:sz w:val="18"/>
          <w:szCs w:val="18"/>
          <w:rtl w:val="0"/>
        </w:rPr>
        <w:t xml:space="preserve">es una plataforma de experiencias educativas internacionales fundada en 2013 por Goiko Llobet (actual CEO de la compañía) y Pablo Gil en Melbourne, Australia, </w:t>
      </w:r>
      <w:r w:rsidDel="00000000" w:rsidR="00000000" w:rsidRPr="00000000">
        <w:rPr>
          <w:color w:val="1a1a1a"/>
          <w:sz w:val="18"/>
          <w:szCs w:val="18"/>
          <w:highlight w:val="white"/>
          <w:rtl w:val="0"/>
        </w:rPr>
        <w:t xml:space="preserve">que nació con el objetivo de que ninguna persona estuviera sola al aterrizar en destino</w:t>
      </w:r>
      <w:r w:rsidDel="00000000" w:rsidR="00000000" w:rsidRPr="00000000">
        <w:rPr>
          <w:color w:val="1a1a1a"/>
          <w:sz w:val="18"/>
          <w:szCs w:val="18"/>
          <w:rtl w:val="0"/>
        </w:rPr>
        <w:t xml:space="preserve">. </w:t>
      </w:r>
      <w:r w:rsidDel="00000000" w:rsidR="00000000" w:rsidRPr="00000000">
        <w:rPr>
          <w:rtl w:val="0"/>
        </w:rPr>
      </w:r>
    </w:p>
    <w:p w:rsidR="00000000" w:rsidDel="00000000" w:rsidP="00000000" w:rsidRDefault="00000000" w:rsidRPr="00000000" w14:paraId="00000023">
      <w:pPr>
        <w:spacing w:line="240" w:lineRule="auto"/>
        <w:jc w:val="both"/>
        <w:rPr>
          <w:color w:val="1a1a1a"/>
          <w:sz w:val="18"/>
          <w:szCs w:val="18"/>
        </w:rPr>
      </w:pPr>
      <w:r w:rsidDel="00000000" w:rsidR="00000000" w:rsidRPr="00000000">
        <w:rPr>
          <w:color w:val="1a1a1a"/>
          <w:sz w:val="18"/>
          <w:szCs w:val="18"/>
          <w:rtl w:val="0"/>
        </w:rPr>
        <w:t xml:space="preserve">Actualmente, la plataforma opera en s</w:t>
      </w:r>
      <w:r w:rsidDel="00000000" w:rsidR="00000000" w:rsidRPr="00000000">
        <w:rPr>
          <w:color w:val="1a1a1a"/>
          <w:sz w:val="18"/>
          <w:szCs w:val="18"/>
          <w:highlight w:val="white"/>
          <w:rtl w:val="0"/>
        </w:rPr>
        <w:t xml:space="preserve">eis destinos: Australia, Canadá, Estados Unidos, Irlanda, Malta y Nueva Zelanda. El equipo de GrowPro Experience se encarga de ofrecer todos los servicios que los estudiantes necesitan para organizar y disfrutar de su experiencia en el extranjero, con una diferenciación muy clara, el ac</w:t>
      </w:r>
      <w:r w:rsidDel="00000000" w:rsidR="00000000" w:rsidRPr="00000000">
        <w:rPr>
          <w:color w:val="1a1a1a"/>
          <w:sz w:val="18"/>
          <w:szCs w:val="18"/>
          <w:rtl w:val="0"/>
        </w:rPr>
        <w:t xml:space="preserve">ompañamiento en el destino y la tecnología presente en todo el proceso con su propia app, web y software de gestión y cotización. A día de hoy, más de 25,000 estudiantes han disfrutado de una experiencia internacional gracias a GrowPro Experience.</w:t>
      </w:r>
    </w:p>
    <w:p w:rsidR="00000000" w:rsidDel="00000000" w:rsidP="00000000" w:rsidRDefault="00000000" w:rsidRPr="00000000" w14:paraId="00000024">
      <w:pPr>
        <w:spacing w:line="240" w:lineRule="auto"/>
        <w:rPr>
          <w:color w:val="1a1a1a"/>
          <w:sz w:val="18"/>
          <w:szCs w:val="18"/>
        </w:rPr>
      </w:pPr>
      <w:r w:rsidDel="00000000" w:rsidR="00000000" w:rsidRPr="00000000">
        <w:rPr>
          <w:rtl w:val="0"/>
        </w:rPr>
      </w:r>
    </w:p>
    <w:p w:rsidR="00000000" w:rsidDel="00000000" w:rsidP="00000000" w:rsidRDefault="00000000" w:rsidRPr="00000000" w14:paraId="00000025">
      <w:pPr>
        <w:spacing w:line="240" w:lineRule="auto"/>
        <w:jc w:val="both"/>
        <w:rPr>
          <w:highlight w:val="white"/>
        </w:rPr>
      </w:pPr>
      <w:r w:rsidDel="00000000" w:rsidR="00000000" w:rsidRPr="00000000">
        <w:rPr>
          <w:rtl w:val="0"/>
        </w:rPr>
      </w:r>
    </w:p>
    <w:p w:rsidR="00000000" w:rsidDel="00000000" w:rsidP="00000000" w:rsidRDefault="00000000" w:rsidRPr="00000000" w14:paraId="00000026">
      <w:pPr>
        <w:spacing w:line="240" w:lineRule="auto"/>
        <w:jc w:val="both"/>
        <w:rPr>
          <w:b w:val="1"/>
          <w:color w:val="e06666"/>
          <w:sz w:val="20"/>
          <w:szCs w:val="20"/>
          <w:highlight w:val="white"/>
        </w:rPr>
      </w:pPr>
      <w:r w:rsidDel="00000000" w:rsidR="00000000" w:rsidRPr="00000000">
        <w:rPr>
          <w:b w:val="1"/>
          <w:color w:val="e06666"/>
          <w:sz w:val="20"/>
          <w:szCs w:val="20"/>
          <w:highlight w:val="white"/>
          <w:rtl w:val="0"/>
        </w:rPr>
        <w:t xml:space="preserve">Contacto de prensa</w:t>
      </w:r>
    </w:p>
    <w:p w:rsidR="00000000" w:rsidDel="00000000" w:rsidP="00000000" w:rsidRDefault="00000000" w:rsidRPr="00000000" w14:paraId="00000027">
      <w:pPr>
        <w:spacing w:line="240" w:lineRule="auto"/>
        <w:jc w:val="both"/>
        <w:rPr>
          <w:sz w:val="20"/>
          <w:szCs w:val="20"/>
          <w:highlight w:val="white"/>
        </w:rPr>
      </w:pPr>
      <w:r w:rsidDel="00000000" w:rsidR="00000000" w:rsidRPr="00000000">
        <w:rPr>
          <w:rtl w:val="0"/>
        </w:rPr>
      </w:r>
    </w:p>
    <w:p w:rsidR="00000000" w:rsidDel="00000000" w:rsidP="00000000" w:rsidRDefault="00000000" w:rsidRPr="00000000" w14:paraId="00000028">
      <w:pPr>
        <w:spacing w:line="240" w:lineRule="auto"/>
        <w:jc w:val="both"/>
        <w:rPr>
          <w:sz w:val="20"/>
          <w:szCs w:val="20"/>
          <w:highlight w:val="white"/>
        </w:rPr>
      </w:pPr>
      <w:r w:rsidDel="00000000" w:rsidR="00000000" w:rsidRPr="00000000">
        <w:rPr>
          <w:sz w:val="20"/>
          <w:szCs w:val="20"/>
          <w:highlight w:val="white"/>
          <w:rtl w:val="0"/>
        </w:rPr>
        <w:t xml:space="preserve">Fernando Fuentes | Public Relations Executive</w:t>
      </w:r>
    </w:p>
    <w:p w:rsidR="00000000" w:rsidDel="00000000" w:rsidP="00000000" w:rsidRDefault="00000000" w:rsidRPr="00000000" w14:paraId="00000029">
      <w:pPr>
        <w:spacing w:line="240" w:lineRule="auto"/>
        <w:jc w:val="both"/>
        <w:rPr>
          <w:sz w:val="20"/>
          <w:szCs w:val="20"/>
          <w:highlight w:val="white"/>
        </w:rPr>
      </w:pPr>
      <w:hyperlink r:id="rId9">
        <w:r w:rsidDel="00000000" w:rsidR="00000000" w:rsidRPr="00000000">
          <w:rPr>
            <w:color w:val="1155cc"/>
            <w:sz w:val="20"/>
            <w:szCs w:val="20"/>
            <w:highlight w:val="white"/>
            <w:u w:val="single"/>
            <w:rtl w:val="0"/>
          </w:rPr>
          <w:t xml:space="preserve">fernando.fuentes@another.co</w:t>
        </w:r>
      </w:hyperlink>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1898813</wp:posOffset>
          </wp:positionH>
          <wp:positionV relativeFrom="paragraph">
            <wp:posOffset>-57149</wp:posOffset>
          </wp:positionV>
          <wp:extent cx="1932828" cy="376238"/>
          <wp:effectExtent b="0" l="0" r="0" t="0"/>
          <wp:wrapNone/>
          <wp:docPr id="1" name="image1.png"/>
          <a:graphic>
            <a:graphicData uri="http://schemas.openxmlformats.org/drawingml/2006/picture">
              <pic:pic>
                <pic:nvPicPr>
                  <pic:cNvPr id="0" name="image1.png"/>
                  <pic:cNvPicPr preferRelativeResize="0"/>
                </pic:nvPicPr>
                <pic:blipFill>
                  <a:blip r:embed="rId1"/>
                  <a:srcRect b="28065" l="0" r="0" t="23231"/>
                  <a:stretch>
                    <a:fillRect/>
                  </a:stretch>
                </pic:blipFill>
                <pic:spPr>
                  <a:xfrm>
                    <a:off x="0" y="0"/>
                    <a:ext cx="1932828" cy="3762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fernando.fuentes@another.co" TargetMode="External"/><Relationship Id="rId5" Type="http://schemas.openxmlformats.org/officeDocument/2006/relationships/styles" Target="styles.xml"/><Relationship Id="rId6" Type="http://schemas.openxmlformats.org/officeDocument/2006/relationships/hyperlink" Target="https://growproagents.com/" TargetMode="External"/><Relationship Id="rId7" Type="http://schemas.openxmlformats.org/officeDocument/2006/relationships/hyperlink" Target="https://www.linkedin.com/company/banana-experience/" TargetMode="External"/><Relationship Id="rId8" Type="http://schemas.openxmlformats.org/officeDocument/2006/relationships/hyperlink" Target="https://growproexperienc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